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30A7" w:rsidRDefault="00973DD7">
      <w:pPr>
        <w:pStyle w:val="normal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EMENDA </w:t>
      </w:r>
      <w:r>
        <w:rPr>
          <w:rFonts w:ascii="Arial" w:eastAsia="Arial" w:hAnsi="Arial" w:cs="Arial"/>
          <w:b/>
          <w:sz w:val="20"/>
          <w:szCs w:val="20"/>
        </w:rPr>
        <w:t xml:space="preserve">MODIFICATIVA N°. 01 AO PROJETO DE LEI ORDINÁRIA N°. 92 - SUBSTITUTIVO, </w:t>
      </w:r>
      <w:r>
        <w:rPr>
          <w:rFonts w:ascii="Calibri" w:eastAsia="Calibri" w:hAnsi="Calibri" w:cs="Calibri"/>
          <w:b/>
          <w:sz w:val="22"/>
          <w:szCs w:val="22"/>
        </w:rPr>
        <w:t>DE 06 DE OUTUBRO DE 2017.</w:t>
      </w:r>
    </w:p>
    <w:p w:rsidR="00E230A7" w:rsidRDefault="00E230A7">
      <w:pPr>
        <w:pStyle w:val="normal0"/>
        <w:jc w:val="center"/>
        <w:rPr>
          <w:rFonts w:ascii="Arial" w:eastAsia="Arial" w:hAnsi="Arial" w:cs="Arial"/>
          <w:sz w:val="20"/>
          <w:szCs w:val="20"/>
        </w:rPr>
      </w:pPr>
    </w:p>
    <w:p w:rsidR="00E230A7" w:rsidRDefault="00E230A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vereador proponente, no uso de suas atribuições legais e regimentais, de acordo com o que dispõe o Regimento Interno, apresenta Emenda Modificativa ao AO PROJETO DE LEI ORDINÁRIA N°. 92 - SUBSTITUTIVO, DE 06 DE OUTUBRO DE 2017., com a seguinte ementa “Di</w:t>
      </w:r>
      <w:r>
        <w:rPr>
          <w:rFonts w:ascii="Arial" w:eastAsia="Arial" w:hAnsi="Arial" w:cs="Arial"/>
          <w:sz w:val="20"/>
          <w:szCs w:val="20"/>
        </w:rPr>
        <w:t>spõe, regulamenta e disciplina a publicidade e propaganda no Município de Canela e dá outras providências, nos termos a seguir.</w:t>
      </w:r>
    </w:p>
    <w:p w:rsidR="00E230A7" w:rsidRDefault="00E230A7">
      <w:pPr>
        <w:pStyle w:val="normal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1º O artigo 28 do Projeto de Lei Ordinária n°. 92 - Substitutivo - de 06 de outubro de 2017, passará a ter a seguinte reda</w:t>
      </w:r>
      <w:r>
        <w:rPr>
          <w:rFonts w:ascii="Arial" w:eastAsia="Arial" w:hAnsi="Arial" w:cs="Arial"/>
          <w:sz w:val="20"/>
          <w:szCs w:val="20"/>
        </w:rPr>
        <w:t>ção:</w:t>
      </w:r>
    </w:p>
    <w:p w:rsidR="00E230A7" w:rsidRDefault="00E230A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left="2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28. Serão considerados letreiros, para o entendimento desta Lei, a composição ou a utilização de qualquer letra, emblema e desenho, destinado exclusivamente à identificação do estabelecimento, independentemente do material a ser utilizado, unica</w:t>
      </w:r>
      <w:r>
        <w:rPr>
          <w:rFonts w:ascii="Calibri" w:eastAsia="Calibri" w:hAnsi="Calibri" w:cs="Calibri"/>
          <w:sz w:val="22"/>
          <w:szCs w:val="22"/>
        </w:rPr>
        <w:t xml:space="preserve">mente sobre superfície de parede externa de qualquer plano de fachada, não podendo ultrapassar 15% da fachada. </w:t>
      </w:r>
    </w:p>
    <w:p w:rsidR="00E230A7" w:rsidRDefault="00E230A7">
      <w:pPr>
        <w:pStyle w:val="normal0"/>
        <w:ind w:left="216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Art. 2º O artigo 31 do Projeto de Lei Ordinária n°. 92 - Substitutivo - de 06 de outubro de 2017, passará a ter a seguinte redação:</w:t>
      </w:r>
    </w:p>
    <w:p w:rsidR="00E230A7" w:rsidRDefault="00E230A7">
      <w:pPr>
        <w:pStyle w:val="normal0"/>
        <w:ind w:left="2160"/>
        <w:jc w:val="both"/>
        <w:rPr>
          <w:rFonts w:ascii="Calibri" w:eastAsia="Calibri" w:hAnsi="Calibri" w:cs="Calibri"/>
          <w:sz w:val="22"/>
          <w:szCs w:val="22"/>
        </w:rPr>
      </w:pPr>
    </w:p>
    <w:p w:rsidR="00E230A7" w:rsidRDefault="00973DD7">
      <w:pPr>
        <w:pStyle w:val="normal0"/>
        <w:ind w:left="2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31. </w:t>
      </w:r>
      <w:r>
        <w:rPr>
          <w:rFonts w:ascii="Calibri" w:eastAsia="Calibri" w:hAnsi="Calibri" w:cs="Calibri"/>
          <w:sz w:val="22"/>
          <w:szCs w:val="22"/>
        </w:rPr>
        <w:t>As placas perpendiculares deverão ter obrigatoriamente a sua fixação através de pedestais, postes ou algum tipo de sustentação aérea, dentro da área de recuo de ajardinamento, podendo a publicidade avançar em até 50% do seu tamanho, sobre o passeio público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E230A7" w:rsidRDefault="00973DD7">
      <w:pPr>
        <w:pStyle w:val="normal0"/>
        <w:ind w:left="2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§ 1º As placas perpendiculares poderão ter, no máximo, as seguintes dimensões:</w:t>
      </w:r>
    </w:p>
    <w:p w:rsidR="00E230A7" w:rsidRDefault="00973DD7">
      <w:pPr>
        <w:pStyle w:val="normal0"/>
        <w:ind w:left="2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- Nos estabelecimentos com recuo e até 6 m de testada: 1,5m².</w:t>
      </w:r>
    </w:p>
    <w:p w:rsidR="00E230A7" w:rsidRDefault="00973DD7">
      <w:pPr>
        <w:pStyle w:val="normal0"/>
        <w:ind w:left="2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 - Nos estabelecimentos com recuo e mais de 6 m testada: 2,5m².</w:t>
      </w:r>
    </w:p>
    <w:p w:rsidR="00E230A7" w:rsidRDefault="00973DD7">
      <w:pPr>
        <w:pStyle w:val="normal0"/>
        <w:ind w:left="2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§ 2º Novas placas ou aquelas que necessitarem</w:t>
      </w:r>
      <w:r>
        <w:rPr>
          <w:rFonts w:ascii="Calibri" w:eastAsia="Calibri" w:hAnsi="Calibri" w:cs="Calibri"/>
          <w:sz w:val="22"/>
          <w:szCs w:val="22"/>
        </w:rPr>
        <w:t xml:space="preserve"> de adequação, deverão usar iluminação interna (</w:t>
      </w:r>
      <w:r>
        <w:rPr>
          <w:rFonts w:ascii="Calibri" w:eastAsia="Calibri" w:hAnsi="Calibri" w:cs="Calibri"/>
          <w:i/>
          <w:sz w:val="22"/>
          <w:szCs w:val="22"/>
        </w:rPr>
        <w:t>back light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E230A7" w:rsidRDefault="00E230A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3º O artigo 32 do Projeto de Lei Ordinária n°. 92 - Substitutivo - de 06 de outubro de 2017, passará a ter a seguinte redação:</w:t>
      </w:r>
    </w:p>
    <w:p w:rsidR="00E230A7" w:rsidRDefault="00E230A7">
      <w:pPr>
        <w:pStyle w:val="normal0"/>
        <w:ind w:left="216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left="216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32. As placas perpendiculares fixadas em paredes de esta</w:t>
      </w:r>
      <w:r>
        <w:rPr>
          <w:rFonts w:ascii="Calibri" w:eastAsia="Calibri" w:hAnsi="Calibri" w:cs="Calibri"/>
          <w:sz w:val="22"/>
          <w:szCs w:val="22"/>
        </w:rPr>
        <w:t>belecimentos que não possuem recuo de ajardinamento, devem estar fixados a uma altura mínima de 2,40m do chão e com tamanho máximo de 0,</w:t>
      </w:r>
      <w:r>
        <w:rPr>
          <w:rFonts w:ascii="Calibri" w:eastAsia="Calibri" w:hAnsi="Calibri" w:cs="Calibri"/>
          <w:color w:val="00000A"/>
          <w:sz w:val="22"/>
          <w:szCs w:val="22"/>
        </w:rPr>
        <w:t xml:space="preserve">60m², respeitado o limite de 0,80m de comprimento sobre o passeio público. </w:t>
      </w:r>
    </w:p>
    <w:p w:rsidR="00E230A7" w:rsidRDefault="00E230A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4º O artigo 35 do Projeto de Lei Ordinária n°. 92 - Substitutivo - de 06 de outubro de 2017, passará a ter a seguinte redação:</w:t>
      </w:r>
    </w:p>
    <w:p w:rsidR="00E230A7" w:rsidRDefault="00E230A7">
      <w:pPr>
        <w:pStyle w:val="normal0"/>
        <w:ind w:left="2160"/>
        <w:jc w:val="both"/>
        <w:rPr>
          <w:rFonts w:ascii="Calibri" w:eastAsia="Calibri" w:hAnsi="Calibri" w:cs="Calibri"/>
          <w:sz w:val="22"/>
          <w:szCs w:val="22"/>
        </w:rPr>
      </w:pPr>
    </w:p>
    <w:p w:rsidR="00E230A7" w:rsidRDefault="00973DD7">
      <w:pPr>
        <w:pStyle w:val="normal0"/>
        <w:ind w:left="216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35. É possível a publicidade de estabelecimentos comerciais e de serviços situados em prédios comerciais ou galerias, </w:t>
      </w:r>
      <w:r>
        <w:rPr>
          <w:rFonts w:ascii="Calibri" w:eastAsia="Calibri" w:hAnsi="Calibri" w:cs="Calibri"/>
          <w:sz w:val="22"/>
          <w:szCs w:val="22"/>
        </w:rPr>
        <w:t>que tiverem apenas acesso interno, por meio de totem instalado em frente ao prédio, desde que fixado dentro da área de recuo de ajardinamento e possuindo tamanho máximo de 2,5m</w:t>
      </w:r>
      <w:r>
        <w:rPr>
          <w:rFonts w:ascii="Calibri" w:eastAsia="Calibri" w:hAnsi="Calibri" w:cs="Calibri"/>
          <w:color w:val="00000A"/>
          <w:sz w:val="22"/>
          <w:szCs w:val="22"/>
        </w:rPr>
        <w:t>².</w:t>
      </w:r>
    </w:p>
    <w:p w:rsidR="00E230A7" w:rsidRDefault="00E230A7">
      <w:pPr>
        <w:pStyle w:val="normal0"/>
        <w:jc w:val="both"/>
        <w:rPr>
          <w:rFonts w:ascii="Calibri" w:eastAsia="Calibri" w:hAnsi="Calibri" w:cs="Calibri"/>
          <w:color w:val="00000A"/>
          <w:sz w:val="22"/>
          <w:szCs w:val="22"/>
        </w:rPr>
      </w:pPr>
    </w:p>
    <w:p w:rsidR="00E230A7" w:rsidRDefault="00973DD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5º O parágrafo único do art. 48 do Projeto de Lei Ordinária n°. 92 - Su</w:t>
      </w:r>
      <w:r>
        <w:rPr>
          <w:rFonts w:ascii="Arial" w:eastAsia="Arial" w:hAnsi="Arial" w:cs="Arial"/>
          <w:sz w:val="20"/>
          <w:szCs w:val="20"/>
        </w:rPr>
        <w:t>bstitutivo - de 06 de outubro de 2017, passará a ter a seguinte redação:</w:t>
      </w:r>
    </w:p>
    <w:p w:rsidR="00E230A7" w:rsidRDefault="00E230A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left="1440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48…</w:t>
      </w:r>
    </w:p>
    <w:p w:rsidR="00E230A7" w:rsidRDefault="00973DD7">
      <w:pPr>
        <w:pStyle w:val="normal0"/>
        <w:ind w:left="2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Parágrafo único. A publicidade será afixada sobre o parabrisas traseiro do veículo em dimensões que não ultrapassem as do mesmo, e/ou nas laterais em dimensões não superiores a 50cm x 50cm.</w:t>
      </w:r>
    </w:p>
    <w:p w:rsidR="00E230A7" w:rsidRDefault="00E230A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E230A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6º O artigo 68 do Projeto de Lei Ordinária n°. 92 - Substit</w:t>
      </w:r>
      <w:r>
        <w:rPr>
          <w:rFonts w:ascii="Arial" w:eastAsia="Arial" w:hAnsi="Arial" w:cs="Arial"/>
          <w:sz w:val="20"/>
          <w:szCs w:val="20"/>
        </w:rPr>
        <w:t>utivo - de 06 de outubro de 2017, passará a ter a seguinte redação:</w:t>
      </w:r>
    </w:p>
    <w:p w:rsidR="00E230A7" w:rsidRDefault="00E230A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left="2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68. Esta Lei entra em vigor na data de sua publicação, produzindo efeitos quanto ao exposto nas Seções  III, IV a partir de 1° de dezembro de 2017 e quanto ao exposto nas Seções  I, </w:t>
      </w:r>
      <w:r>
        <w:rPr>
          <w:rFonts w:ascii="Calibri" w:eastAsia="Calibri" w:hAnsi="Calibri" w:cs="Calibri"/>
          <w:sz w:val="22"/>
          <w:szCs w:val="22"/>
        </w:rPr>
        <w:t xml:space="preserve">II, V, VI, VII, VIII, IX, X, XI, XII  a partir do dia 1° de fevereiro de 2018. </w:t>
      </w:r>
    </w:p>
    <w:p w:rsidR="00E230A7" w:rsidRDefault="00E230A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E230A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firstLine="7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JUSTIFICATIVA</w:t>
      </w:r>
    </w:p>
    <w:p w:rsidR="00E230A7" w:rsidRDefault="00E230A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Fizeram-se necessárias adequações atendendo a orientação jurídica e debates através de audiência pública e reuniões com segmentos da sociedade. </w:t>
      </w:r>
    </w:p>
    <w:p w:rsidR="00E230A7" w:rsidRDefault="00E230A7">
      <w:pPr>
        <w:pStyle w:val="normal0"/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Diante do ex</w:t>
      </w:r>
      <w:r>
        <w:rPr>
          <w:rFonts w:ascii="Arial" w:eastAsia="Arial" w:hAnsi="Arial" w:cs="Arial"/>
          <w:sz w:val="20"/>
          <w:szCs w:val="20"/>
        </w:rPr>
        <w:t>posto, envia-se a sugestão de emenda à análise dos nobres pares.</w:t>
      </w:r>
    </w:p>
    <w:p w:rsidR="00E230A7" w:rsidRDefault="00E230A7">
      <w:pPr>
        <w:pStyle w:val="normal0"/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Canela, 25 de outubro de 2017.</w:t>
      </w:r>
    </w:p>
    <w:p w:rsidR="00E230A7" w:rsidRDefault="00E230A7">
      <w:pPr>
        <w:pStyle w:val="normal0"/>
        <w:ind w:firstLine="708"/>
        <w:jc w:val="center"/>
        <w:rPr>
          <w:rFonts w:ascii="Arial" w:eastAsia="Arial" w:hAnsi="Arial" w:cs="Arial"/>
          <w:sz w:val="20"/>
          <w:szCs w:val="20"/>
        </w:rPr>
      </w:pPr>
    </w:p>
    <w:p w:rsidR="00E230A7" w:rsidRDefault="00973DD7">
      <w:pPr>
        <w:pStyle w:val="normal0"/>
        <w:ind w:firstLine="708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</w:t>
      </w:r>
    </w:p>
    <w:p w:rsidR="00E230A7" w:rsidRDefault="00973DD7">
      <w:pPr>
        <w:pStyle w:val="normal0"/>
        <w:ind w:firstLine="708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Ismael  Viezze</w:t>
      </w:r>
    </w:p>
    <w:p w:rsidR="00E230A7" w:rsidRDefault="00973DD7">
      <w:pPr>
        <w:pStyle w:val="normal0"/>
        <w:ind w:firstLine="708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Vereador - PDT</w:t>
      </w:r>
    </w:p>
    <w:sectPr w:rsidR="00E230A7" w:rsidSect="00E230A7">
      <w:headerReference w:type="default" r:id="rId6"/>
      <w:footerReference w:type="default" r:id="rId7"/>
      <w:pgSz w:w="12240" w:h="15840"/>
      <w:pgMar w:top="1413" w:right="1560" w:bottom="1276" w:left="156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DD7" w:rsidRDefault="00973DD7" w:rsidP="00E230A7">
      <w:r>
        <w:separator/>
      </w:r>
    </w:p>
  </w:endnote>
  <w:endnote w:type="continuationSeparator" w:id="1">
    <w:p w:rsidR="00973DD7" w:rsidRDefault="00973DD7" w:rsidP="00E23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0A7" w:rsidRDefault="00973DD7">
    <w:pPr>
      <w:pStyle w:val="normal0"/>
      <w:tabs>
        <w:tab w:val="center" w:pos="4252"/>
        <w:tab w:val="right" w:pos="8504"/>
      </w:tabs>
      <w:spacing w:after="2880"/>
      <w:ind w:right="189"/>
      <w:jc w:val="center"/>
      <w:rPr>
        <w:sz w:val="14"/>
        <w:szCs w:val="14"/>
      </w:rPr>
    </w:pPr>
    <w:r>
      <w:rPr>
        <w:sz w:val="14"/>
        <w:szCs w:val="14"/>
      </w:rPr>
      <w:t xml:space="preserve">Rua Dona Carlinda, 485. CEP: 95680-000 - Canela/RS | Fone/Fax: (54) 3282.1179 | Fone: (54) 3282.3828 | E-mail: </w:t>
    </w:r>
    <w:r>
      <w:rPr>
        <w:sz w:val="14"/>
        <w:szCs w:val="14"/>
      </w:rPr>
      <w:t>comissoes</w:t>
    </w:r>
    <w:r>
      <w:rPr>
        <w:sz w:val="14"/>
        <w:szCs w:val="14"/>
      </w:rPr>
      <w:t>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DD7" w:rsidRDefault="00973DD7" w:rsidP="00E230A7">
      <w:r>
        <w:separator/>
      </w:r>
    </w:p>
  </w:footnote>
  <w:footnote w:type="continuationSeparator" w:id="1">
    <w:p w:rsidR="00973DD7" w:rsidRDefault="00973DD7" w:rsidP="00E23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0A7" w:rsidRDefault="00973DD7">
    <w:pPr>
      <w:pStyle w:val="normal0"/>
      <w:tabs>
        <w:tab w:val="center" w:pos="4419"/>
        <w:tab w:val="right" w:pos="8838"/>
      </w:tabs>
      <w:spacing w:before="284"/>
      <w:ind w:right="360"/>
      <w:jc w:val="center"/>
    </w:pPr>
    <w:r>
      <w:rPr>
        <w:noProof/>
      </w:rPr>
      <w:drawing>
        <wp:inline distT="0" distB="0" distL="0" distR="0">
          <wp:extent cx="1638300" cy="860295"/>
          <wp:effectExtent l="0" t="0" r="0" b="0"/>
          <wp:docPr id="1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860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230A7" w:rsidRDefault="00973DD7">
    <w:pPr>
      <w:pStyle w:val="normal0"/>
      <w:tabs>
        <w:tab w:val="center" w:pos="4419"/>
        <w:tab w:val="right" w:pos="8838"/>
      </w:tabs>
      <w:ind w:right="360"/>
      <w:jc w:val="center"/>
    </w:pPr>
    <w:r>
      <w:t>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0A7"/>
    <w:rsid w:val="0024381E"/>
    <w:rsid w:val="00973DD7"/>
    <w:rsid w:val="00E2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230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230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230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230A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E230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E230A7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230A7"/>
  </w:style>
  <w:style w:type="table" w:customStyle="1" w:styleId="TableNormal">
    <w:name w:val="Table Normal"/>
    <w:rsid w:val="00E230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230A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230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2017-10-30T21:01:00Z</cp:lastPrinted>
  <dcterms:created xsi:type="dcterms:W3CDTF">2017-10-30T21:02:00Z</dcterms:created>
  <dcterms:modified xsi:type="dcterms:W3CDTF">2017-10-30T21:02:00Z</dcterms:modified>
</cp:coreProperties>
</file>