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57" w:rsidRPr="00F2247F" w:rsidRDefault="00B07857" w:rsidP="00B07857">
      <w:pPr>
        <w:tabs>
          <w:tab w:val="left" w:pos="1080"/>
        </w:tabs>
        <w:rPr>
          <w:rFonts w:cs="Calibri"/>
          <w:b/>
          <w:sz w:val="24"/>
          <w:szCs w:val="24"/>
        </w:rPr>
      </w:pPr>
      <w:r w:rsidRPr="00F2247F">
        <w:rPr>
          <w:rFonts w:cs="Calibri"/>
          <w:b/>
          <w:sz w:val="24"/>
          <w:szCs w:val="24"/>
        </w:rPr>
        <w:t xml:space="preserve">PROJETO DE LEI Nº         </w:t>
      </w:r>
      <w:r w:rsidR="00D40717" w:rsidRPr="00F2247F">
        <w:rPr>
          <w:rFonts w:cs="Calibri"/>
          <w:b/>
          <w:sz w:val="24"/>
          <w:szCs w:val="24"/>
        </w:rPr>
        <w:t xml:space="preserve">   </w:t>
      </w:r>
      <w:r w:rsidRPr="00F2247F">
        <w:rPr>
          <w:rFonts w:cs="Calibri"/>
          <w:b/>
          <w:sz w:val="24"/>
          <w:szCs w:val="24"/>
        </w:rPr>
        <w:t xml:space="preserve"> , DE 21 DE MARÇO DE 2013.</w:t>
      </w:r>
    </w:p>
    <w:p w:rsidR="00B07857" w:rsidRPr="00F2247F" w:rsidRDefault="00B07857" w:rsidP="00B07857">
      <w:pPr>
        <w:tabs>
          <w:tab w:val="left" w:pos="1080"/>
        </w:tabs>
        <w:ind w:left="4785" w:right="15"/>
        <w:rPr>
          <w:rFonts w:cs="Calibri"/>
          <w:b/>
          <w:sz w:val="24"/>
          <w:szCs w:val="24"/>
        </w:rPr>
      </w:pPr>
    </w:p>
    <w:p w:rsidR="00B07857" w:rsidRPr="00F2247F" w:rsidRDefault="00B07857" w:rsidP="00B07857">
      <w:pPr>
        <w:pStyle w:val="Recuodecorpodetexto"/>
        <w:tabs>
          <w:tab w:val="left" w:pos="1080"/>
        </w:tabs>
        <w:ind w:left="5250" w:right="15" w:firstLine="0"/>
        <w:rPr>
          <w:rFonts w:asciiTheme="minorHAnsi" w:hAnsiTheme="minorHAnsi" w:cs="Calibri"/>
          <w:bCs w:val="0"/>
        </w:rPr>
      </w:pPr>
      <w:r w:rsidRPr="00F2247F">
        <w:rPr>
          <w:rFonts w:asciiTheme="minorHAnsi" w:hAnsiTheme="minorHAnsi" w:cs="Calibri"/>
          <w:bCs w:val="0"/>
        </w:rPr>
        <w:t>Regulamenta a concessão de gratificação de que trata o artigo 97 da Lei Complementar Municipal nº 25/2012</w:t>
      </w:r>
      <w:r w:rsidR="00981B85" w:rsidRPr="00F2247F">
        <w:rPr>
          <w:rFonts w:asciiTheme="minorHAnsi" w:hAnsiTheme="minorHAnsi" w:cs="Calibri"/>
          <w:bCs w:val="0"/>
        </w:rPr>
        <w:t>, aos servidores do Legislativo Municipal</w:t>
      </w:r>
      <w:r w:rsidRPr="00F2247F">
        <w:rPr>
          <w:rFonts w:asciiTheme="minorHAnsi" w:hAnsiTheme="minorHAnsi" w:cs="Calibri"/>
          <w:bCs w:val="0"/>
        </w:rPr>
        <w:t>.</w:t>
      </w:r>
    </w:p>
    <w:p w:rsidR="00B07857" w:rsidRPr="00F2247F" w:rsidRDefault="00B07857" w:rsidP="00B07857">
      <w:pPr>
        <w:tabs>
          <w:tab w:val="left" w:pos="6090"/>
        </w:tabs>
        <w:ind w:right="15"/>
        <w:jc w:val="both"/>
        <w:rPr>
          <w:rFonts w:cs="Calibri"/>
          <w:sz w:val="24"/>
          <w:szCs w:val="24"/>
        </w:rPr>
      </w:pPr>
    </w:p>
    <w:p w:rsidR="00B07857" w:rsidRPr="00F2247F" w:rsidRDefault="00B07857" w:rsidP="00B07857">
      <w:pPr>
        <w:ind w:firstLine="1095"/>
        <w:jc w:val="both"/>
        <w:rPr>
          <w:rFonts w:cs="Calibri"/>
          <w:sz w:val="24"/>
          <w:szCs w:val="24"/>
        </w:rPr>
      </w:pPr>
    </w:p>
    <w:p w:rsidR="00B07857" w:rsidRPr="00F2247F" w:rsidRDefault="00B07857" w:rsidP="00B07857">
      <w:pPr>
        <w:ind w:firstLine="1095"/>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Art. 1º</w:t>
      </w:r>
      <w:r w:rsidRPr="00F2247F">
        <w:rPr>
          <w:rFonts w:cs="Calibri"/>
          <w:sz w:val="24"/>
          <w:szCs w:val="24"/>
        </w:rPr>
        <w:t xml:space="preserve"> O servidor que for designado para compor Comissões de Concursos, Licitações, Sindicância, Processo Administrativo, Promoção de Servidores e/ou outras que se fizerem necessárias, cuja permanência no desempenho de suas funções for julgada conveniente, fará jus ao pagamento de uma gratificação no período de sua titularidade, que será incluída na sua folha de pagamento.</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Art. 2º</w:t>
      </w:r>
      <w:r w:rsidRPr="00F2247F">
        <w:rPr>
          <w:rFonts w:cs="Calibri"/>
          <w:sz w:val="24"/>
          <w:szCs w:val="24"/>
        </w:rPr>
        <w:t xml:space="preserve"> O valor da gratificação equivale ao</w:t>
      </w:r>
      <w:r w:rsidRPr="00F2247F">
        <w:rPr>
          <w:rFonts w:cs="Calibri"/>
          <w:b/>
          <w:sz w:val="24"/>
          <w:szCs w:val="24"/>
        </w:rPr>
        <w:t xml:space="preserve"> </w:t>
      </w:r>
      <w:r w:rsidRPr="00F2247F">
        <w:rPr>
          <w:rFonts w:cs="Calibri"/>
          <w:sz w:val="24"/>
          <w:szCs w:val="24"/>
        </w:rPr>
        <w:t>número de horas trabalhadas, na seguinte proporção, tendo por base o percentual de 40% (quarenta por cento) do menor vencimento do Município:</w:t>
      </w:r>
    </w:p>
    <w:p w:rsidR="00B07857" w:rsidRPr="00F2247F" w:rsidRDefault="00B07857" w:rsidP="00B07857">
      <w:pPr>
        <w:numPr>
          <w:ilvl w:val="0"/>
          <w:numId w:val="2"/>
        </w:numPr>
        <w:tabs>
          <w:tab w:val="left" w:pos="0"/>
        </w:tabs>
        <w:suppressAutoHyphens/>
        <w:spacing w:after="0" w:line="240" w:lineRule="auto"/>
        <w:ind w:left="0" w:firstLine="1080"/>
        <w:jc w:val="both"/>
        <w:rPr>
          <w:rFonts w:cs="Calibri"/>
          <w:sz w:val="24"/>
          <w:szCs w:val="24"/>
        </w:rPr>
      </w:pPr>
      <w:r w:rsidRPr="00F2247F">
        <w:rPr>
          <w:rFonts w:cs="Calibri"/>
          <w:sz w:val="24"/>
          <w:szCs w:val="24"/>
        </w:rPr>
        <w:t>4 horas no mês = 20%;</w:t>
      </w:r>
    </w:p>
    <w:p w:rsidR="00B07857" w:rsidRPr="00F2247F" w:rsidRDefault="00B07857" w:rsidP="00B07857">
      <w:pPr>
        <w:numPr>
          <w:ilvl w:val="0"/>
          <w:numId w:val="2"/>
        </w:numPr>
        <w:tabs>
          <w:tab w:val="left" w:pos="0"/>
        </w:tabs>
        <w:suppressAutoHyphens/>
        <w:spacing w:after="0" w:line="240" w:lineRule="auto"/>
        <w:ind w:left="0" w:firstLine="1080"/>
        <w:jc w:val="both"/>
        <w:rPr>
          <w:rFonts w:cs="Calibri"/>
          <w:sz w:val="24"/>
          <w:szCs w:val="24"/>
        </w:rPr>
      </w:pPr>
      <w:r w:rsidRPr="00F2247F">
        <w:rPr>
          <w:rFonts w:cs="Calibri"/>
          <w:sz w:val="24"/>
          <w:szCs w:val="24"/>
        </w:rPr>
        <w:t>8 horas no mês = 40%;</w:t>
      </w:r>
    </w:p>
    <w:p w:rsidR="00B07857" w:rsidRPr="00F2247F" w:rsidRDefault="00B07857" w:rsidP="00B07857">
      <w:pPr>
        <w:numPr>
          <w:ilvl w:val="0"/>
          <w:numId w:val="2"/>
        </w:numPr>
        <w:tabs>
          <w:tab w:val="left" w:pos="0"/>
        </w:tabs>
        <w:suppressAutoHyphens/>
        <w:spacing w:after="0" w:line="240" w:lineRule="auto"/>
        <w:ind w:left="0" w:firstLine="1080"/>
        <w:jc w:val="both"/>
        <w:rPr>
          <w:rFonts w:cs="Calibri"/>
          <w:sz w:val="24"/>
          <w:szCs w:val="24"/>
        </w:rPr>
      </w:pPr>
      <w:r w:rsidRPr="00F2247F">
        <w:rPr>
          <w:rFonts w:cs="Calibri"/>
          <w:sz w:val="24"/>
          <w:szCs w:val="24"/>
        </w:rPr>
        <w:t>12 horas no mês = 60%;</w:t>
      </w:r>
    </w:p>
    <w:p w:rsidR="00B07857" w:rsidRPr="00F2247F" w:rsidRDefault="00B07857" w:rsidP="00B07857">
      <w:pPr>
        <w:numPr>
          <w:ilvl w:val="0"/>
          <w:numId w:val="2"/>
        </w:numPr>
        <w:tabs>
          <w:tab w:val="left" w:pos="0"/>
        </w:tabs>
        <w:suppressAutoHyphens/>
        <w:spacing w:after="0" w:line="240" w:lineRule="auto"/>
        <w:ind w:left="0" w:firstLine="1080"/>
        <w:jc w:val="both"/>
        <w:rPr>
          <w:rFonts w:cs="Calibri"/>
          <w:sz w:val="24"/>
          <w:szCs w:val="24"/>
        </w:rPr>
      </w:pPr>
      <w:r w:rsidRPr="00F2247F">
        <w:rPr>
          <w:rFonts w:cs="Calibri"/>
          <w:sz w:val="24"/>
          <w:szCs w:val="24"/>
        </w:rPr>
        <w:t>16 horas no mês = 80%;</w:t>
      </w:r>
    </w:p>
    <w:p w:rsidR="00B07857" w:rsidRPr="00F2247F" w:rsidRDefault="00B07857" w:rsidP="00B07857">
      <w:pPr>
        <w:numPr>
          <w:ilvl w:val="0"/>
          <w:numId w:val="2"/>
        </w:numPr>
        <w:tabs>
          <w:tab w:val="left" w:pos="0"/>
        </w:tabs>
        <w:suppressAutoHyphens/>
        <w:spacing w:after="0" w:line="240" w:lineRule="auto"/>
        <w:ind w:left="0" w:firstLine="1080"/>
        <w:jc w:val="both"/>
        <w:rPr>
          <w:rFonts w:cs="Calibri"/>
          <w:sz w:val="24"/>
          <w:szCs w:val="24"/>
        </w:rPr>
      </w:pPr>
      <w:r w:rsidRPr="00F2247F">
        <w:rPr>
          <w:rFonts w:cs="Calibri"/>
          <w:sz w:val="24"/>
          <w:szCs w:val="24"/>
        </w:rPr>
        <w:t>20 horas ou mais, no mês = 100%.</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Art. 3º</w:t>
      </w:r>
      <w:r w:rsidRPr="00F2247F">
        <w:rPr>
          <w:rFonts w:cs="Calibri"/>
          <w:sz w:val="24"/>
          <w:szCs w:val="24"/>
        </w:rPr>
        <w:t xml:space="preserve"> Para determinação de composição de comissão</w:t>
      </w:r>
      <w:r w:rsidR="00D40717" w:rsidRPr="00F2247F">
        <w:rPr>
          <w:rFonts w:cs="Calibri"/>
          <w:sz w:val="24"/>
          <w:szCs w:val="24"/>
        </w:rPr>
        <w:t xml:space="preserve"> é</w:t>
      </w:r>
      <w:r w:rsidRPr="00F2247F">
        <w:rPr>
          <w:rFonts w:cs="Calibri"/>
          <w:sz w:val="24"/>
          <w:szCs w:val="24"/>
        </w:rPr>
        <w:t xml:space="preserve"> obrigatório constar na solicitação de emissão de Portaria:</w:t>
      </w:r>
    </w:p>
    <w:p w:rsidR="00B07857" w:rsidRPr="00F2247F" w:rsidRDefault="00B07857" w:rsidP="00B07857">
      <w:pPr>
        <w:numPr>
          <w:ilvl w:val="0"/>
          <w:numId w:val="3"/>
        </w:numPr>
        <w:tabs>
          <w:tab w:val="left" w:pos="540"/>
        </w:tabs>
        <w:suppressAutoHyphens/>
        <w:spacing w:after="0" w:line="240" w:lineRule="auto"/>
        <w:ind w:left="0" w:firstLine="1080"/>
        <w:jc w:val="both"/>
        <w:rPr>
          <w:rFonts w:cs="Calibri"/>
          <w:sz w:val="24"/>
          <w:szCs w:val="24"/>
        </w:rPr>
      </w:pPr>
      <w:r w:rsidRPr="00F2247F">
        <w:rPr>
          <w:rFonts w:cs="Calibri"/>
          <w:sz w:val="24"/>
          <w:szCs w:val="24"/>
        </w:rPr>
        <w:t>motivo e sua base legal;</w:t>
      </w:r>
    </w:p>
    <w:p w:rsidR="00B07857" w:rsidRPr="00F2247F" w:rsidRDefault="00B07857" w:rsidP="00B07857">
      <w:pPr>
        <w:numPr>
          <w:ilvl w:val="0"/>
          <w:numId w:val="3"/>
        </w:numPr>
        <w:tabs>
          <w:tab w:val="left" w:pos="540"/>
        </w:tabs>
        <w:suppressAutoHyphens/>
        <w:spacing w:after="0" w:line="240" w:lineRule="auto"/>
        <w:ind w:left="0" w:firstLine="1080"/>
        <w:jc w:val="both"/>
        <w:rPr>
          <w:rFonts w:cs="Calibri"/>
          <w:sz w:val="24"/>
          <w:szCs w:val="24"/>
        </w:rPr>
      </w:pPr>
      <w:r w:rsidRPr="00F2247F">
        <w:rPr>
          <w:rFonts w:cs="Calibri"/>
          <w:sz w:val="24"/>
          <w:szCs w:val="24"/>
        </w:rPr>
        <w:t>indicação dos nomes;</w:t>
      </w:r>
    </w:p>
    <w:p w:rsidR="00B07857" w:rsidRPr="00F2247F" w:rsidRDefault="00B07857" w:rsidP="00B07857">
      <w:pPr>
        <w:numPr>
          <w:ilvl w:val="0"/>
          <w:numId w:val="3"/>
        </w:numPr>
        <w:tabs>
          <w:tab w:val="left" w:pos="0"/>
        </w:tabs>
        <w:suppressAutoHyphens/>
        <w:spacing w:after="0" w:line="240" w:lineRule="auto"/>
        <w:ind w:left="0" w:firstLine="1080"/>
        <w:jc w:val="both"/>
        <w:rPr>
          <w:rFonts w:cs="Calibri"/>
          <w:sz w:val="24"/>
          <w:szCs w:val="24"/>
        </w:rPr>
      </w:pPr>
      <w:r w:rsidRPr="00F2247F">
        <w:rPr>
          <w:rFonts w:cs="Calibri"/>
          <w:sz w:val="24"/>
          <w:szCs w:val="24"/>
        </w:rPr>
        <w:t>período de início e fim da atividade a ser realizada pela comissão, que não pode ser superior a um ano;</w:t>
      </w:r>
    </w:p>
    <w:p w:rsidR="00B07857" w:rsidRPr="00F2247F" w:rsidRDefault="00B07857" w:rsidP="00B07857">
      <w:pPr>
        <w:numPr>
          <w:ilvl w:val="0"/>
          <w:numId w:val="3"/>
        </w:numPr>
        <w:tabs>
          <w:tab w:val="left" w:pos="0"/>
        </w:tabs>
        <w:suppressAutoHyphens/>
        <w:spacing w:after="0" w:line="240" w:lineRule="auto"/>
        <w:ind w:left="0" w:firstLine="1080"/>
        <w:jc w:val="both"/>
        <w:rPr>
          <w:rFonts w:cs="Calibri"/>
          <w:sz w:val="24"/>
          <w:szCs w:val="24"/>
        </w:rPr>
      </w:pPr>
      <w:r w:rsidRPr="00F2247F">
        <w:rPr>
          <w:rFonts w:cs="Calibri"/>
          <w:sz w:val="24"/>
          <w:szCs w:val="24"/>
        </w:rPr>
        <w:t xml:space="preserve">autorização do Chefe do Poder </w:t>
      </w:r>
      <w:r w:rsidR="004D6C45">
        <w:rPr>
          <w:rFonts w:cs="Calibri"/>
          <w:sz w:val="24"/>
          <w:szCs w:val="24"/>
        </w:rPr>
        <w:t>Legislativo</w:t>
      </w:r>
      <w:r w:rsidRPr="00F2247F">
        <w:rPr>
          <w:rFonts w:cs="Calibri"/>
          <w:sz w:val="24"/>
          <w:szCs w:val="24"/>
        </w:rPr>
        <w:t>.</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Art. 4º</w:t>
      </w:r>
      <w:r w:rsidRPr="00F2247F">
        <w:rPr>
          <w:rFonts w:cs="Calibri"/>
          <w:sz w:val="24"/>
          <w:szCs w:val="24"/>
        </w:rPr>
        <w:t xml:space="preserve"> Para recebimento da gratificação, a comissão deverá registrar em atas as reuniões, indicando o objetivo, os membros que participaram, o horário de início e fim e o </w:t>
      </w:r>
      <w:r w:rsidRPr="00F2247F">
        <w:rPr>
          <w:rFonts w:cs="Calibri"/>
          <w:sz w:val="24"/>
          <w:szCs w:val="24"/>
        </w:rPr>
        <w:lastRenderedPageBreak/>
        <w:t>que foi realizado, não sendo devido o pagamento quando o objetivo não tiver sido atingido naquelas reuniões.</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 1º</w:t>
      </w:r>
      <w:r w:rsidRPr="00F2247F">
        <w:rPr>
          <w:rFonts w:cs="Calibri"/>
          <w:sz w:val="24"/>
          <w:szCs w:val="24"/>
        </w:rPr>
        <w:t xml:space="preserve"> Horários antes ou após o expediente que forem registrados no sistema de ponto e que coincidirem com o horário informados nas atas, não serão remunerados a título de serviço extraordinário. </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 2º</w:t>
      </w:r>
      <w:r w:rsidRPr="00F2247F">
        <w:rPr>
          <w:rFonts w:cs="Calibri"/>
          <w:sz w:val="24"/>
          <w:szCs w:val="24"/>
        </w:rPr>
        <w:t xml:space="preserve"> A informação sobre as atividades das comissões abrangerá o período de efetividade e será informada pelo presidente da mesma, devendo ser encaminhada ao Departamento de Gestão de Pessoas até o décimo quinto dia do mês.</w:t>
      </w:r>
    </w:p>
    <w:p w:rsidR="00B07857" w:rsidRPr="00F2247F" w:rsidRDefault="00B07857" w:rsidP="00B07857">
      <w:pPr>
        <w:ind w:firstLine="1080"/>
        <w:jc w:val="both"/>
        <w:rPr>
          <w:rFonts w:cs="Calibri"/>
          <w:sz w:val="24"/>
          <w:szCs w:val="24"/>
        </w:rPr>
      </w:pPr>
      <w:r w:rsidRPr="00F2247F">
        <w:rPr>
          <w:rFonts w:cs="Calibri"/>
          <w:b/>
          <w:sz w:val="24"/>
          <w:szCs w:val="24"/>
        </w:rPr>
        <w:t>§ 3º</w:t>
      </w:r>
      <w:r w:rsidRPr="00F2247F">
        <w:rPr>
          <w:rFonts w:cs="Calibri"/>
          <w:sz w:val="24"/>
          <w:szCs w:val="24"/>
        </w:rPr>
        <w:t xml:space="preserve"> O pagamento das comissões deverá ser autorizado por escrito pelo </w:t>
      </w:r>
      <w:r w:rsidR="007A5C09">
        <w:rPr>
          <w:rFonts w:cs="Calibri"/>
          <w:sz w:val="24"/>
          <w:szCs w:val="24"/>
        </w:rPr>
        <w:t xml:space="preserve">Diretor da Casa </w:t>
      </w:r>
      <w:r w:rsidR="0028026D">
        <w:rPr>
          <w:rFonts w:cs="Calibri"/>
          <w:sz w:val="24"/>
          <w:szCs w:val="24"/>
        </w:rPr>
        <w:t>Legislativa</w:t>
      </w:r>
      <w:r w:rsidRPr="00F2247F">
        <w:rPr>
          <w:rFonts w:cs="Calibri"/>
          <w:sz w:val="24"/>
          <w:szCs w:val="24"/>
        </w:rPr>
        <w:t xml:space="preserve">, que visará as atas e informações sobre a efetividade dos membros. </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 4º</w:t>
      </w:r>
      <w:r w:rsidRPr="00F2247F">
        <w:rPr>
          <w:rFonts w:cs="Calibri"/>
          <w:sz w:val="24"/>
          <w:szCs w:val="24"/>
        </w:rPr>
        <w:t xml:space="preserve"> O servidor que integrar comissão de Processo Administrativo Disciplinar receberá no primeiro mês de trabalho o valor correspondente ao serviço realizado dentro da primeira efetividade e o restante, somente após a entrega do relatório final.</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 5º</w:t>
      </w:r>
      <w:r w:rsidRPr="00F2247F">
        <w:rPr>
          <w:rFonts w:cs="Calibri"/>
          <w:sz w:val="24"/>
          <w:szCs w:val="24"/>
        </w:rPr>
        <w:t xml:space="preserve"> O valor referente à Comissão de Sindicância somente será pago no folha de pagamento do mês em que for entregue o relatório final. </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 xml:space="preserve">Art. 5º </w:t>
      </w:r>
      <w:r w:rsidRPr="00F2247F">
        <w:rPr>
          <w:rFonts w:cs="Calibri"/>
          <w:sz w:val="24"/>
          <w:szCs w:val="24"/>
        </w:rPr>
        <w:t xml:space="preserve">A gratificação de que trata este </w:t>
      </w:r>
      <w:r w:rsidR="00E95AFB">
        <w:rPr>
          <w:rFonts w:cs="Calibri"/>
          <w:sz w:val="24"/>
          <w:szCs w:val="24"/>
        </w:rPr>
        <w:t>projeto de lei</w:t>
      </w:r>
      <w:r w:rsidRPr="00F2247F">
        <w:rPr>
          <w:rFonts w:cs="Calibri"/>
          <w:sz w:val="24"/>
          <w:szCs w:val="24"/>
        </w:rPr>
        <w:t xml:space="preserve"> será paga conforme abaixo discriminado:</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 xml:space="preserve">I </w:t>
      </w:r>
      <w:r w:rsidRPr="00F2247F">
        <w:rPr>
          <w:rFonts w:cs="Calibri"/>
          <w:sz w:val="24"/>
          <w:szCs w:val="24"/>
        </w:rPr>
        <w:t>– por até sessenta dias para Comissão de Processo Administrativo;</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II</w:t>
      </w:r>
      <w:r w:rsidRPr="00F2247F">
        <w:rPr>
          <w:rFonts w:cs="Calibri"/>
          <w:sz w:val="24"/>
          <w:szCs w:val="24"/>
        </w:rPr>
        <w:t xml:space="preserve"> – por até trinta dias para Comissão de Sindicância e para o defensor dativo;</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 xml:space="preserve">III </w:t>
      </w:r>
      <w:r w:rsidRPr="00F2247F">
        <w:rPr>
          <w:rFonts w:cs="Calibri"/>
          <w:sz w:val="24"/>
          <w:szCs w:val="24"/>
        </w:rPr>
        <w:t>– pelo período de efetivo serviço necessário às demais comissões, que será determinado pela Portaria de nomeação.</w:t>
      </w:r>
    </w:p>
    <w:p w:rsidR="00B07857" w:rsidRPr="00F2247F" w:rsidRDefault="00B07857" w:rsidP="00B07857">
      <w:pPr>
        <w:ind w:firstLine="1080"/>
        <w:jc w:val="both"/>
        <w:rPr>
          <w:rFonts w:cs="Calibri"/>
          <w:b/>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Parágrafo único.</w:t>
      </w:r>
      <w:r w:rsidRPr="00F2247F">
        <w:rPr>
          <w:rFonts w:cs="Calibri"/>
          <w:sz w:val="24"/>
          <w:szCs w:val="24"/>
        </w:rPr>
        <w:t xml:space="preserve"> Não serão contados para o período das comissões os dias relativos a recurso, defesa, esclarecimentos e decisão final da autoridade competente, bem como o período de férias e de afastamentos legais de membros das comissões.</w:t>
      </w:r>
    </w:p>
    <w:p w:rsidR="00B07857" w:rsidRPr="00F2247F" w:rsidRDefault="00B07857" w:rsidP="00B07857">
      <w:pPr>
        <w:ind w:firstLine="1080"/>
        <w:jc w:val="both"/>
        <w:rPr>
          <w:rFonts w:cs="Calibri"/>
          <w:sz w:val="24"/>
          <w:szCs w:val="24"/>
        </w:rPr>
      </w:pPr>
    </w:p>
    <w:p w:rsidR="00B07857" w:rsidRPr="00F2247F" w:rsidRDefault="00B07857" w:rsidP="00B07857">
      <w:pPr>
        <w:ind w:firstLine="1080"/>
        <w:jc w:val="both"/>
        <w:rPr>
          <w:rFonts w:cs="Calibri"/>
          <w:sz w:val="24"/>
          <w:szCs w:val="24"/>
        </w:rPr>
      </w:pPr>
      <w:r w:rsidRPr="00F2247F">
        <w:rPr>
          <w:rFonts w:cs="Calibri"/>
          <w:b/>
          <w:sz w:val="24"/>
          <w:szCs w:val="24"/>
        </w:rPr>
        <w:t>Art. 6º</w:t>
      </w:r>
      <w:r w:rsidRPr="00F2247F">
        <w:rPr>
          <w:rFonts w:cs="Calibri"/>
          <w:sz w:val="24"/>
          <w:szCs w:val="24"/>
        </w:rPr>
        <w:t xml:space="preserve"> Se houver necessidade de renovação da comissão, apenas um dos membros atuais poderá integrar o novo grupo.</w:t>
      </w:r>
    </w:p>
    <w:p w:rsidR="00B07857" w:rsidRPr="00F2247F" w:rsidRDefault="00B07857" w:rsidP="00B07857">
      <w:pPr>
        <w:ind w:firstLine="1080"/>
        <w:jc w:val="both"/>
        <w:rPr>
          <w:rFonts w:cs="Calibri"/>
          <w:sz w:val="24"/>
          <w:szCs w:val="24"/>
        </w:rPr>
      </w:pPr>
    </w:p>
    <w:p w:rsidR="00B07857" w:rsidRPr="00F2247F" w:rsidRDefault="0004513D" w:rsidP="00B07857">
      <w:pPr>
        <w:ind w:firstLine="1080"/>
        <w:jc w:val="both"/>
        <w:rPr>
          <w:rFonts w:eastAsia="Calibri" w:cs="Calibri"/>
          <w:sz w:val="24"/>
          <w:szCs w:val="24"/>
        </w:rPr>
      </w:pPr>
      <w:r w:rsidRPr="00F2247F">
        <w:rPr>
          <w:rFonts w:eastAsia="Calibri" w:cs="Calibri"/>
          <w:b/>
          <w:sz w:val="24"/>
          <w:szCs w:val="24"/>
        </w:rPr>
        <w:t>Art. 7</w:t>
      </w:r>
      <w:r w:rsidR="00B07857" w:rsidRPr="00F2247F">
        <w:rPr>
          <w:rFonts w:eastAsia="Calibri" w:cs="Calibri"/>
          <w:b/>
          <w:sz w:val="24"/>
          <w:szCs w:val="24"/>
        </w:rPr>
        <w:t xml:space="preserve">º </w:t>
      </w:r>
      <w:r w:rsidR="007B64C9" w:rsidRPr="00F2247F">
        <w:rPr>
          <w:rFonts w:eastAsia="Calibri" w:cs="Calibri"/>
          <w:sz w:val="24"/>
          <w:szCs w:val="24"/>
        </w:rPr>
        <w:t>Esta</w:t>
      </w:r>
      <w:r w:rsidR="00B07857" w:rsidRPr="00F2247F">
        <w:rPr>
          <w:rFonts w:eastAsia="Calibri" w:cs="Calibri"/>
          <w:sz w:val="24"/>
          <w:szCs w:val="24"/>
        </w:rPr>
        <w:t xml:space="preserve"> </w:t>
      </w:r>
      <w:r w:rsidR="007B64C9" w:rsidRPr="00F2247F">
        <w:rPr>
          <w:rFonts w:eastAsia="Calibri" w:cs="Calibri"/>
          <w:sz w:val="24"/>
          <w:szCs w:val="24"/>
        </w:rPr>
        <w:t>Lei</w:t>
      </w:r>
      <w:r w:rsidR="00B07857" w:rsidRPr="00F2247F">
        <w:rPr>
          <w:rFonts w:eastAsia="Calibri" w:cs="Calibri"/>
          <w:sz w:val="24"/>
          <w:szCs w:val="24"/>
        </w:rPr>
        <w:t xml:space="preserve"> entra em vigor na data de sua publicação</w:t>
      </w:r>
      <w:r w:rsidR="00A459AE">
        <w:rPr>
          <w:rFonts w:eastAsia="Calibri" w:cs="Calibri"/>
          <w:sz w:val="24"/>
          <w:szCs w:val="24"/>
        </w:rPr>
        <w:t>, com efeitos retroativos ao mês de janeiro de 2011</w:t>
      </w:r>
      <w:r w:rsidR="00B07857" w:rsidRPr="00F2247F">
        <w:rPr>
          <w:rFonts w:eastAsia="Calibri" w:cs="Calibri"/>
          <w:sz w:val="24"/>
          <w:szCs w:val="24"/>
        </w:rPr>
        <w:t>.</w:t>
      </w:r>
    </w:p>
    <w:p w:rsidR="0004513D" w:rsidRPr="00F2247F" w:rsidRDefault="0004513D" w:rsidP="00B07857">
      <w:pPr>
        <w:ind w:firstLine="990"/>
        <w:rPr>
          <w:rFonts w:cs="Calibri"/>
          <w:b/>
          <w:sz w:val="24"/>
          <w:szCs w:val="24"/>
        </w:rPr>
      </w:pPr>
    </w:p>
    <w:p w:rsidR="0004513D" w:rsidRPr="00F2247F" w:rsidRDefault="0004513D" w:rsidP="00F2247F">
      <w:pPr>
        <w:ind w:firstLine="990"/>
        <w:rPr>
          <w:rFonts w:cs="Calibri"/>
          <w:sz w:val="24"/>
          <w:szCs w:val="24"/>
        </w:rPr>
      </w:pPr>
      <w:r w:rsidRPr="00F2247F">
        <w:rPr>
          <w:rFonts w:cs="Calibri"/>
          <w:sz w:val="24"/>
          <w:szCs w:val="24"/>
        </w:rPr>
        <w:t xml:space="preserve">Canela, </w:t>
      </w:r>
      <w:r w:rsidR="004C2B34">
        <w:rPr>
          <w:rFonts w:cs="Calibri"/>
          <w:sz w:val="24"/>
          <w:szCs w:val="24"/>
        </w:rPr>
        <w:t>21</w:t>
      </w:r>
      <w:r w:rsidRPr="00F2247F">
        <w:rPr>
          <w:rFonts w:cs="Calibri"/>
          <w:sz w:val="24"/>
          <w:szCs w:val="24"/>
        </w:rPr>
        <w:t xml:space="preserve"> de </w:t>
      </w:r>
      <w:r w:rsidR="004C2B34">
        <w:rPr>
          <w:rFonts w:cs="Calibri"/>
          <w:sz w:val="24"/>
          <w:szCs w:val="24"/>
        </w:rPr>
        <w:t>março</w:t>
      </w:r>
      <w:r w:rsidRPr="00F2247F">
        <w:rPr>
          <w:rFonts w:cs="Calibri"/>
          <w:sz w:val="24"/>
          <w:szCs w:val="24"/>
        </w:rPr>
        <w:t xml:space="preserve"> de 2013.</w:t>
      </w:r>
    </w:p>
    <w:p w:rsidR="0004513D" w:rsidRPr="00F2247F" w:rsidRDefault="0004513D" w:rsidP="00B07857">
      <w:pPr>
        <w:ind w:firstLine="990"/>
        <w:rPr>
          <w:rFonts w:cs="Calibri"/>
          <w:b/>
          <w:sz w:val="24"/>
          <w:szCs w:val="24"/>
        </w:rPr>
      </w:pPr>
    </w:p>
    <w:p w:rsidR="00F2247F" w:rsidRPr="00F2247F" w:rsidRDefault="00F2247F" w:rsidP="00F2247F">
      <w:pPr>
        <w:jc w:val="center"/>
        <w:rPr>
          <w:b/>
          <w:sz w:val="24"/>
          <w:szCs w:val="24"/>
        </w:rPr>
      </w:pPr>
      <w:r w:rsidRPr="00F2247F">
        <w:rPr>
          <w:b/>
          <w:sz w:val="24"/>
          <w:szCs w:val="24"/>
        </w:rPr>
        <w:t>Dr FERNANDO DA ROSA VALLE.</w:t>
      </w:r>
    </w:p>
    <w:p w:rsidR="00F2247F" w:rsidRPr="00F2247F" w:rsidRDefault="00F2247F" w:rsidP="00F2247F">
      <w:pPr>
        <w:jc w:val="center"/>
        <w:rPr>
          <w:sz w:val="24"/>
          <w:szCs w:val="24"/>
        </w:rPr>
      </w:pPr>
      <w:r w:rsidRPr="00F2247F">
        <w:rPr>
          <w:sz w:val="24"/>
          <w:szCs w:val="24"/>
        </w:rPr>
        <w:t>Presidente.</w:t>
      </w:r>
    </w:p>
    <w:p w:rsidR="00F2247F" w:rsidRPr="00F2247F" w:rsidRDefault="00F2247F" w:rsidP="00F2247F">
      <w:pPr>
        <w:rPr>
          <w:sz w:val="24"/>
          <w:szCs w:val="24"/>
        </w:rPr>
      </w:pPr>
    </w:p>
    <w:p w:rsidR="00F2247F" w:rsidRPr="00F2247F" w:rsidRDefault="00F2247F" w:rsidP="00F2247F">
      <w:pPr>
        <w:rPr>
          <w:sz w:val="24"/>
          <w:szCs w:val="24"/>
        </w:rPr>
      </w:pPr>
    </w:p>
    <w:p w:rsidR="00F2247F" w:rsidRPr="00F2247F" w:rsidRDefault="00F2247F" w:rsidP="00F2247F">
      <w:pPr>
        <w:jc w:val="center"/>
        <w:rPr>
          <w:b/>
          <w:sz w:val="24"/>
          <w:szCs w:val="24"/>
        </w:rPr>
      </w:pPr>
      <w:r w:rsidRPr="00F2247F">
        <w:rPr>
          <w:b/>
          <w:sz w:val="24"/>
          <w:szCs w:val="24"/>
        </w:rPr>
        <w:t>CARLOS DE OLIVEIRA.</w:t>
      </w:r>
    </w:p>
    <w:p w:rsidR="00F2247F" w:rsidRPr="00F2247F" w:rsidRDefault="00F2247F" w:rsidP="00F2247F">
      <w:pPr>
        <w:jc w:val="center"/>
        <w:rPr>
          <w:sz w:val="24"/>
          <w:szCs w:val="24"/>
        </w:rPr>
      </w:pPr>
      <w:r w:rsidRPr="00F2247F">
        <w:rPr>
          <w:sz w:val="24"/>
          <w:szCs w:val="24"/>
        </w:rPr>
        <w:t>Vice Presidente.</w:t>
      </w:r>
    </w:p>
    <w:p w:rsidR="00F2247F" w:rsidRPr="00F2247F" w:rsidRDefault="00F2247F" w:rsidP="00F2247F">
      <w:pPr>
        <w:rPr>
          <w:sz w:val="24"/>
          <w:szCs w:val="24"/>
        </w:rPr>
      </w:pPr>
    </w:p>
    <w:p w:rsidR="00F2247F" w:rsidRPr="00F2247F" w:rsidRDefault="00F2247F" w:rsidP="00F2247F">
      <w:pPr>
        <w:jc w:val="center"/>
        <w:rPr>
          <w:b/>
          <w:sz w:val="24"/>
          <w:szCs w:val="24"/>
        </w:rPr>
      </w:pPr>
      <w:r w:rsidRPr="00F2247F">
        <w:rPr>
          <w:b/>
          <w:sz w:val="24"/>
          <w:szCs w:val="24"/>
        </w:rPr>
        <w:t>MARLE</w:t>
      </w:r>
      <w:r w:rsidR="0098557C">
        <w:rPr>
          <w:b/>
          <w:sz w:val="24"/>
          <w:szCs w:val="24"/>
        </w:rPr>
        <w:t>NE</w:t>
      </w:r>
      <w:r w:rsidRPr="00F2247F">
        <w:rPr>
          <w:b/>
          <w:sz w:val="24"/>
          <w:szCs w:val="24"/>
        </w:rPr>
        <w:t xml:space="preserve"> BOH</w:t>
      </w:r>
      <w:r w:rsidR="002148DF">
        <w:rPr>
          <w:b/>
          <w:sz w:val="24"/>
          <w:szCs w:val="24"/>
        </w:rPr>
        <w:t>R</w:t>
      </w:r>
      <w:r w:rsidRPr="00F2247F">
        <w:rPr>
          <w:b/>
          <w:sz w:val="24"/>
          <w:szCs w:val="24"/>
        </w:rPr>
        <w:t>ER.</w:t>
      </w:r>
    </w:p>
    <w:p w:rsidR="00F2247F" w:rsidRPr="00F2247F" w:rsidRDefault="00F2247F" w:rsidP="00F2247F">
      <w:pPr>
        <w:jc w:val="center"/>
        <w:rPr>
          <w:sz w:val="24"/>
          <w:szCs w:val="24"/>
        </w:rPr>
      </w:pPr>
      <w:r w:rsidRPr="00F2247F">
        <w:rPr>
          <w:sz w:val="24"/>
          <w:szCs w:val="24"/>
        </w:rPr>
        <w:t>1º  Secretária.</w:t>
      </w:r>
    </w:p>
    <w:p w:rsidR="00F2247F" w:rsidRPr="00F2247F" w:rsidRDefault="00F2247F" w:rsidP="00F2247F">
      <w:pPr>
        <w:rPr>
          <w:sz w:val="24"/>
          <w:szCs w:val="24"/>
        </w:rPr>
      </w:pPr>
    </w:p>
    <w:p w:rsidR="00F2247F" w:rsidRPr="00F2247F" w:rsidRDefault="00F2247F" w:rsidP="00F2247F">
      <w:pPr>
        <w:rPr>
          <w:sz w:val="24"/>
          <w:szCs w:val="24"/>
        </w:rPr>
      </w:pPr>
    </w:p>
    <w:p w:rsidR="00F2247F" w:rsidRPr="00F2247F" w:rsidRDefault="00F2247F" w:rsidP="00F2247F">
      <w:pPr>
        <w:jc w:val="center"/>
        <w:rPr>
          <w:b/>
          <w:sz w:val="24"/>
          <w:szCs w:val="24"/>
        </w:rPr>
      </w:pPr>
      <w:r w:rsidRPr="00F2247F">
        <w:rPr>
          <w:b/>
          <w:sz w:val="24"/>
          <w:szCs w:val="24"/>
        </w:rPr>
        <w:t>PAULO TOMASINI</w:t>
      </w:r>
    </w:p>
    <w:p w:rsidR="00F2247F" w:rsidRPr="00F2247F" w:rsidRDefault="00F2247F" w:rsidP="00F2247F">
      <w:pPr>
        <w:jc w:val="center"/>
        <w:rPr>
          <w:sz w:val="24"/>
          <w:szCs w:val="24"/>
        </w:rPr>
      </w:pPr>
      <w:r w:rsidRPr="00F2247F">
        <w:rPr>
          <w:sz w:val="24"/>
          <w:szCs w:val="24"/>
        </w:rPr>
        <w:t>2º Secretário</w:t>
      </w:r>
    </w:p>
    <w:p w:rsidR="0004513D" w:rsidRPr="00F2247F" w:rsidRDefault="0004513D" w:rsidP="0004513D">
      <w:pPr>
        <w:jc w:val="center"/>
        <w:rPr>
          <w:rFonts w:cs="Calibri"/>
          <w:sz w:val="24"/>
          <w:szCs w:val="24"/>
        </w:rPr>
      </w:pPr>
    </w:p>
    <w:p w:rsidR="00B07857" w:rsidRPr="00F2247F" w:rsidRDefault="00B07857" w:rsidP="00B07857">
      <w:pPr>
        <w:jc w:val="both"/>
        <w:rPr>
          <w:rFonts w:cs="Calibri"/>
          <w:sz w:val="24"/>
          <w:szCs w:val="24"/>
        </w:rPr>
      </w:pPr>
      <w:r w:rsidRPr="00F2247F">
        <w:rPr>
          <w:rFonts w:cs="Calibri"/>
          <w:sz w:val="24"/>
          <w:szCs w:val="24"/>
        </w:rPr>
        <w:lastRenderedPageBreak/>
        <w:t>Registre-se e publique-se.</w:t>
      </w:r>
    </w:p>
    <w:sectPr w:rsidR="00B07857" w:rsidRPr="00F2247F" w:rsidSect="0009656A">
      <w:headerReference w:type="default" r:id="rId7"/>
      <w:footerReference w:type="even" r:id="rId8"/>
      <w:footerReference w:type="default" r:id="rId9"/>
      <w:headerReference w:type="first" r:id="rId10"/>
      <w:footerReference w:type="first" r:id="rId11"/>
      <w:pgSz w:w="11906" w:h="16838"/>
      <w:pgMar w:top="1418" w:right="1134" w:bottom="567" w:left="1701"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42A" w:rsidRDefault="0061142A" w:rsidP="0009656A">
      <w:pPr>
        <w:spacing w:after="0" w:line="240" w:lineRule="auto"/>
      </w:pPr>
      <w:r>
        <w:separator/>
      </w:r>
    </w:p>
  </w:endnote>
  <w:endnote w:type="continuationSeparator" w:id="1">
    <w:p w:rsidR="0061142A" w:rsidRDefault="0061142A" w:rsidP="00096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6A" w:rsidRDefault="000965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6A" w:rsidRDefault="003B03F3">
    <w:pPr>
      <w:pStyle w:val="Rodap"/>
      <w:rPr>
        <w:rFonts w:ascii="Calibri" w:hAnsi="Calibri" w:cs="Calibri"/>
        <w:sz w:val="18"/>
      </w:rPr>
    </w:pPr>
    <w:r>
      <w:rPr>
        <w:rFonts w:ascii="Calibri" w:hAnsi="Calibri" w:cs="Calibri"/>
        <w:sz w:val="18"/>
      </w:rPr>
      <w:t>Prefeitura Municipal de Canela/RS   Rua Dona Carlinda, 455</w:t>
    </w:r>
  </w:p>
  <w:p w:rsidR="0009656A" w:rsidRDefault="003B03F3">
    <w:pPr>
      <w:pStyle w:val="Rodap"/>
      <w:rPr>
        <w:rFonts w:ascii="Calibri" w:hAnsi="Calibri" w:cs="Calibri"/>
        <w:sz w:val="18"/>
      </w:rPr>
    </w:pPr>
    <w:r>
      <w:rPr>
        <w:rFonts w:ascii="Calibri" w:hAnsi="Calibri" w:cs="Calibri"/>
        <w:sz w:val="18"/>
      </w:rPr>
      <w:t>CEP 95680-000   Fone: 054 282 4077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6A" w:rsidRDefault="000965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42A" w:rsidRDefault="0061142A" w:rsidP="0009656A">
      <w:pPr>
        <w:spacing w:after="0" w:line="240" w:lineRule="auto"/>
      </w:pPr>
      <w:r>
        <w:separator/>
      </w:r>
    </w:p>
  </w:footnote>
  <w:footnote w:type="continuationSeparator" w:id="1">
    <w:p w:rsidR="0061142A" w:rsidRDefault="0061142A" w:rsidP="00096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6A" w:rsidRDefault="00684DAC">
    <w:pPr>
      <w:pStyle w:val="Cabealho"/>
      <w:tabs>
        <w:tab w:val="center" w:pos="4356"/>
        <w:tab w:val="left" w:pos="7830"/>
      </w:tabs>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5pt;height:84.55pt" filled="t">
          <v:fill color2="black"/>
          <v:imagedata r:id="rId1" o:title=""/>
        </v:shape>
      </w:pict>
    </w:r>
  </w:p>
  <w:p w:rsidR="0009656A" w:rsidRDefault="0009656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6A" w:rsidRDefault="000965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useFELayout/>
  </w:compat>
  <w:rsids>
    <w:rsidRoot w:val="00B07857"/>
    <w:rsid w:val="0004513D"/>
    <w:rsid w:val="0009656A"/>
    <w:rsid w:val="000D6DCD"/>
    <w:rsid w:val="001219D1"/>
    <w:rsid w:val="002148DF"/>
    <w:rsid w:val="00222F33"/>
    <w:rsid w:val="00225A11"/>
    <w:rsid w:val="0028026D"/>
    <w:rsid w:val="003B03F3"/>
    <w:rsid w:val="004C2B34"/>
    <w:rsid w:val="004D6C45"/>
    <w:rsid w:val="004F1105"/>
    <w:rsid w:val="0061142A"/>
    <w:rsid w:val="00684DAC"/>
    <w:rsid w:val="006F7DF0"/>
    <w:rsid w:val="007A5C09"/>
    <w:rsid w:val="007B64C9"/>
    <w:rsid w:val="008533FD"/>
    <w:rsid w:val="00912C2B"/>
    <w:rsid w:val="0095648A"/>
    <w:rsid w:val="00981B85"/>
    <w:rsid w:val="0098557C"/>
    <w:rsid w:val="00A118F7"/>
    <w:rsid w:val="00A459AE"/>
    <w:rsid w:val="00B07857"/>
    <w:rsid w:val="00C534FA"/>
    <w:rsid w:val="00D40717"/>
    <w:rsid w:val="00E95AFB"/>
    <w:rsid w:val="00F2247F"/>
    <w:rsid w:val="00F920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56A"/>
  </w:style>
  <w:style w:type="paragraph" w:styleId="Ttulo1">
    <w:name w:val="heading 1"/>
    <w:basedOn w:val="Normal"/>
    <w:next w:val="Normal"/>
    <w:link w:val="Ttulo1Char"/>
    <w:qFormat/>
    <w:rsid w:val="00B07857"/>
    <w:pPr>
      <w:keepNext/>
      <w:tabs>
        <w:tab w:val="num" w:pos="0"/>
      </w:tabs>
      <w:suppressAutoHyphens/>
      <w:spacing w:after="0" w:line="240" w:lineRule="auto"/>
      <w:ind w:left="432" w:right="-108" w:hanging="432"/>
      <w:jc w:val="center"/>
      <w:outlineLvl w:val="0"/>
    </w:pPr>
    <w:rPr>
      <w:rFonts w:ascii="Times New Roman" w:eastAsia="Times New Roman" w:hAnsi="Times New Roman" w:cs="Times New Roman"/>
      <w:b/>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07857"/>
    <w:rPr>
      <w:rFonts w:ascii="Times New Roman" w:eastAsia="Times New Roman" w:hAnsi="Times New Roman" w:cs="Times New Roman"/>
      <w:b/>
      <w:kern w:val="1"/>
      <w:sz w:val="24"/>
      <w:szCs w:val="24"/>
      <w:lang w:eastAsia="ar-SA"/>
    </w:rPr>
  </w:style>
  <w:style w:type="paragraph" w:styleId="Cabealho">
    <w:name w:val="header"/>
    <w:basedOn w:val="Normal"/>
    <w:link w:val="CabealhoChar"/>
    <w:rsid w:val="00B07857"/>
    <w:pPr>
      <w:tabs>
        <w:tab w:val="center" w:pos="4419"/>
        <w:tab w:val="right" w:pos="8838"/>
      </w:tabs>
      <w:suppressAutoHyphens/>
      <w:spacing w:after="0" w:line="240" w:lineRule="auto"/>
      <w:ind w:right="-108"/>
      <w:jc w:val="center"/>
    </w:pPr>
    <w:rPr>
      <w:rFonts w:ascii="Times New Roman" w:eastAsia="Times New Roman" w:hAnsi="Times New Roman" w:cs="Times New Roman"/>
      <w:kern w:val="1"/>
      <w:sz w:val="24"/>
      <w:szCs w:val="24"/>
      <w:lang w:eastAsia="ar-SA"/>
    </w:rPr>
  </w:style>
  <w:style w:type="character" w:customStyle="1" w:styleId="CabealhoChar">
    <w:name w:val="Cabeçalho Char"/>
    <w:basedOn w:val="Fontepargpadro"/>
    <w:link w:val="Cabealho"/>
    <w:rsid w:val="00B07857"/>
    <w:rPr>
      <w:rFonts w:ascii="Times New Roman" w:eastAsia="Times New Roman" w:hAnsi="Times New Roman" w:cs="Times New Roman"/>
      <w:kern w:val="1"/>
      <w:sz w:val="24"/>
      <w:szCs w:val="24"/>
      <w:lang w:eastAsia="ar-SA"/>
    </w:rPr>
  </w:style>
  <w:style w:type="paragraph" w:styleId="Rodap">
    <w:name w:val="footer"/>
    <w:basedOn w:val="Normal"/>
    <w:link w:val="RodapChar"/>
    <w:rsid w:val="00B07857"/>
    <w:pPr>
      <w:tabs>
        <w:tab w:val="center" w:pos="4419"/>
        <w:tab w:val="right" w:pos="8838"/>
      </w:tabs>
      <w:suppressAutoHyphens/>
      <w:spacing w:after="0" w:line="240" w:lineRule="auto"/>
      <w:ind w:right="-108"/>
      <w:jc w:val="center"/>
    </w:pPr>
    <w:rPr>
      <w:rFonts w:ascii="Times New Roman" w:eastAsia="Times New Roman" w:hAnsi="Times New Roman" w:cs="Times New Roman"/>
      <w:kern w:val="1"/>
      <w:sz w:val="24"/>
      <w:szCs w:val="24"/>
      <w:lang w:eastAsia="ar-SA"/>
    </w:rPr>
  </w:style>
  <w:style w:type="character" w:customStyle="1" w:styleId="RodapChar">
    <w:name w:val="Rodapé Char"/>
    <w:basedOn w:val="Fontepargpadro"/>
    <w:link w:val="Rodap"/>
    <w:rsid w:val="00B07857"/>
    <w:rPr>
      <w:rFonts w:ascii="Times New Roman" w:eastAsia="Times New Roman" w:hAnsi="Times New Roman" w:cs="Times New Roman"/>
      <w:kern w:val="1"/>
      <w:sz w:val="24"/>
      <w:szCs w:val="24"/>
      <w:lang w:eastAsia="ar-SA"/>
    </w:rPr>
  </w:style>
  <w:style w:type="paragraph" w:styleId="Recuodecorpodetexto">
    <w:name w:val="Body Text Indent"/>
    <w:basedOn w:val="Normal"/>
    <w:link w:val="RecuodecorpodetextoChar"/>
    <w:rsid w:val="00B07857"/>
    <w:pPr>
      <w:suppressAutoHyphens/>
      <w:spacing w:after="0" w:line="240" w:lineRule="auto"/>
      <w:ind w:right="-108" w:firstLine="708"/>
      <w:jc w:val="both"/>
    </w:pPr>
    <w:rPr>
      <w:rFonts w:ascii="Times New Roman" w:eastAsia="Times New Roman" w:hAnsi="Times New Roman" w:cs="Times New Roman"/>
      <w:bCs/>
      <w:kern w:val="1"/>
      <w:sz w:val="24"/>
      <w:szCs w:val="24"/>
      <w:lang w:eastAsia="ar-SA"/>
    </w:rPr>
  </w:style>
  <w:style w:type="character" w:customStyle="1" w:styleId="RecuodecorpodetextoChar">
    <w:name w:val="Recuo de corpo de texto Char"/>
    <w:basedOn w:val="Fontepargpadro"/>
    <w:link w:val="Recuodecorpodetexto"/>
    <w:rsid w:val="00B07857"/>
    <w:rPr>
      <w:rFonts w:ascii="Times New Roman" w:eastAsia="Times New Roman" w:hAnsi="Times New Roman" w:cs="Times New Roman"/>
      <w:bCs/>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bancadapp</cp:lastModifiedBy>
  <cp:revision>2</cp:revision>
  <cp:lastPrinted>2013-04-01T12:07:00Z</cp:lastPrinted>
  <dcterms:created xsi:type="dcterms:W3CDTF">2013-04-08T17:51:00Z</dcterms:created>
  <dcterms:modified xsi:type="dcterms:W3CDTF">2013-04-08T17:51:00Z</dcterms:modified>
</cp:coreProperties>
</file>