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1990725" cy="962025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EMENDA MODIFICATIVA Nº 01 AO PROJETO DE LEI Nº 18, DE 31 DE MARÇO DE 2017.</w: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4536" w:firstLine="0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Altera a redação do art. incisos I e II do art. 1º, incisos I e §1º, do art. 2º, </w:t>
      </w:r>
      <w:r w:rsidDel="00000000" w:rsidR="00000000" w:rsidRPr="00000000">
        <w:rPr>
          <w:sz w:val="24"/>
          <w:szCs w:val="24"/>
          <w:rtl w:val="0"/>
        </w:rPr>
        <w:t xml:space="preserve">caput do art. 3º,  art. 4º do projeto de lei</w:t>
      </w:r>
      <w:r w:rsidDel="00000000" w:rsidR="00000000" w:rsidRPr="00000000">
        <w:rPr>
          <w:sz w:val="24"/>
          <w:szCs w:val="24"/>
          <w:rtl w:val="0"/>
        </w:rPr>
        <w:t xml:space="preserve"> nº 18, de 31 de Março de 2017.</w:t>
      </w:r>
    </w:p>
    <w:p w:rsidR="00000000" w:rsidDel="00000000" w:rsidP="00000000" w:rsidRDefault="00000000" w:rsidRPr="00000000">
      <w:pPr>
        <w:pBdr/>
        <w:ind w:left="4536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 Fica alterada a redação dos incisos I e II do art. 1º do projeto de lei, nos seguintes termos:</w:t>
      </w:r>
    </w:p>
    <w:p w:rsidR="00000000" w:rsidDel="00000000" w:rsidP="00000000" w:rsidRDefault="00000000" w:rsidRPr="00000000">
      <w:pPr>
        <w:pBdr/>
        <w:ind w:left="2160" w:firstLine="669.000000000000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1º. [...]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serão considerados contribuintes, os proprietários dos imóveis beneficiados, localizados frontalmente para a via indicada, no caput deste artigo;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o valor da contribuição de melhoria terá como limite individual, a valorização do imóvel beneficiário segundo os critérios de cálculo adotados pela fazenda, observado o valor limite do custo final da obra rateado pelo número de imóveis localizados na zona beneficiária.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2° Fica alterada a redação do incisos I e §1º, do art. 2º do projeto de lei, nos seguintes termos:</w:t>
      </w:r>
    </w:p>
    <w:p w:rsidR="00000000" w:rsidDel="00000000" w:rsidP="00000000" w:rsidRDefault="00000000" w:rsidRPr="00000000">
      <w:pPr>
        <w:pBdr/>
        <w:ind w:firstLine="282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2º [...]</w:t>
      </w:r>
    </w:p>
    <w:p w:rsidR="00000000" w:rsidDel="00000000" w:rsidP="00000000" w:rsidRDefault="00000000" w:rsidRPr="00000000">
      <w:pPr>
        <w:pBdr/>
        <w:ind w:left="2160" w:firstLine="669.000000000000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publicação prévia dos seguintes elementos: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delimitação das áreas beneficiadas e a relação dos proprietários de imóveis nela compreendidos;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memorial descritivo do projeto;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orçamento total ou parcial do custo das obras;</w:t>
      </w:r>
    </w:p>
    <w:p w:rsidR="00000000" w:rsidDel="00000000" w:rsidP="00000000" w:rsidRDefault="00000000" w:rsidRPr="00000000">
      <w:pPr>
        <w:pBdr/>
        <w:spacing w:after="0" w:lineRule="auto"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determinação da parcela do custo das obras a ser ressarcida pela contribuição, com o correspondente plano de rateio entre os imóveis beneficiados.</w:t>
      </w:r>
    </w:p>
    <w:p w:rsidR="00000000" w:rsidDel="00000000" w:rsidP="00000000" w:rsidRDefault="00000000" w:rsidRPr="00000000">
      <w:pPr>
        <w:pBdr/>
        <w:spacing w:after="0" w:lineRule="auto"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§1º O valor da contribuição de melhoria será definido pela valorização do imóvel, utilizando como limite máximo de valor, o custo da própria obra rateado pelo número de imóveis, não podendo ultrapassar por ano, 3% do valor do imóvel.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3° Fica alterada a redação do caput do art. 3º do projeto de lei, nos seguintes termos:</w:t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3º previamente a cobrança, será publicado um novo edital, contendo o demonstrativo do custo final ou parcial estimado, da obra, com a forma de cálculo da valorização imobiliária decorrente, seguindo-se o lançamento da Contribuição de Melhoria.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[...]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4° Fica alterada a redação do art. 4º do projeto de lei, nos seguintes termos:</w:t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4º Esta lei entra em vigência em 90 dias a contar de sua publicação.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Parágrafo único. O fato gerador atinente a contribuição de melhoria terá repercussão a partir de 1º de janeiro de 2018.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Comissões, 5 de Abril de 2017.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>
      <w:pPr>
        <w:pBdr/>
        <w:spacing w:after="0" w:line="240" w:lineRule="auto"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Jerônimo Terra Rolim</w:t>
      </w:r>
    </w:p>
    <w:p w:rsidR="00000000" w:rsidDel="00000000" w:rsidP="00000000" w:rsidRDefault="00000000" w:rsidRPr="00000000">
      <w:pPr>
        <w:pBdr/>
        <w:spacing w:after="0" w:line="240" w:lineRule="auto"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 - CCJ-R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alterações fizeram-se necessárias para adequar ao princípio da noventena e também outros dispositivos tendentes a adequar o projeto de lei a melhor técnica jurídica, atendendo também as disposições da orientação jurídica da casa e do ofício enviado pelo executivo autorizando a propositura da emenda.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