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Ao Exmo. Sr.</w:t>
      </w:r>
    </w:p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Câmara de Vereadores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Ver. Marcelo Vargas Savi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Canela – RS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before="300" w:lineRule="auto"/>
        <w:ind w:right="0" w:firstLine="708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O Vereador Jonas Bohn Bernardo, no uso de suas atribuições legais e regimentais, solicita que seja encaminhado ao Poder Executivo a presente indicação: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300" w:before="30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bookmarkStart w:colFirst="0" w:colLast="0" w:name="_50e7h221r4q3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Que seja analisado pelo Poder Executivo a possibilidade de buscar uma parceria Público-Privada, no âmbito do programa Canela do Futuro, para a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construção de uma estação de geração de energia por meio de esgoto e de lixo orgânico, como uma usina de geração de biogás, que transformaria os resíduos em eletricidade para abastecer casas de famílias em situação de vulnerabilidade social ou mesmo prédios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before="300" w:lineRule="auto"/>
        <w:ind w:right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acordo com exemplos de outras cidades, a presente medida visa a geração de energia através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estações de tratamento de esgoto e da coleta de lixo, que produzirá, além do biogás, biofertilizante para a cidade.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Europa é pioneira na produção de biogás a partir da biodigestão, possuindo cerca de 14 mil usinas. Somente a Alemanha abriga oito mil unidades. No Brasil, o biogás ainda tem uma participação pequena na matriz energética e é contabilizado em conjunto com outros biocombustíveis como o bagaço de cana, constituindo a biomassa, responsável por 8,8% da energia gerada no país.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Esse é um projeto que submeto a apreciação dos colegas e em sendo de valia para o município, que seja aprovado e encaminhado ao senhor prefeito para análise.</w:t>
      </w:r>
    </w:p>
    <w:p w:rsidR="00000000" w:rsidDel="00000000" w:rsidP="00000000" w:rsidRDefault="00000000" w:rsidRPr="00000000" w14:paraId="0000000D">
      <w:pPr>
        <w:shd w:fill="ffffff" w:val="clear"/>
        <w:spacing w:after="300" w:before="30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Canela, 18 de fevereiro de 2019.</w:t>
      </w:r>
    </w:p>
    <w:p w:rsidR="00000000" w:rsidDel="00000000" w:rsidP="00000000" w:rsidRDefault="00000000" w:rsidRPr="00000000" w14:paraId="0000000E">
      <w:pPr>
        <w:shd w:fill="ffffff" w:val="clear"/>
        <w:spacing w:after="300" w:before="30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Jonas Bohn Bernardo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- PP/Canela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56"/>
      </w:tabs>
      <w:spacing w:after="0" w:before="0" w:line="240" w:lineRule="auto"/>
      <w:ind w:left="-1134" w:right="-852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E-mail: bancadapp@canela.rs.leg.br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561975</wp:posOffset>
          </wp:positionH>
          <wp:positionV relativeFrom="paragraph">
            <wp:posOffset>0</wp:posOffset>
          </wp:positionV>
          <wp:extent cx="1590358" cy="75029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