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Moção nº: _______/2019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Canela, 23 de novembro de 2019.</w:t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line="276" w:lineRule="auto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Ao Exmo. Presidente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line="276" w:lineRule="auto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Marcelo Vargas Savi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line="276" w:lineRule="auto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Câmara de Vereadores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08"/>
        </w:tabs>
        <w:spacing w:line="276" w:lineRule="auto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Canela – RS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Os vereadores signatários, no uso de suas atribuições legais e regimentais, em conformidade com art. 141 do Regimento Interno, apresentam o seguinte requerimento, para que seja encaminhada </w:t>
      </w:r>
      <w:r w:rsidDel="00000000" w:rsidR="00000000" w:rsidRPr="00000000">
        <w:rPr>
          <w:rFonts w:ascii="Arial" w:cs="Arial" w:eastAsia="Arial" w:hAnsi="Arial"/>
          <w:b w:val="1"/>
          <w:color w:val="0d0d0d"/>
          <w:sz w:val="28"/>
          <w:szCs w:val="28"/>
          <w:rtl w:val="0"/>
        </w:rPr>
        <w:t xml:space="preserve">MOÇÃO DE REPÚDIO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endereçada ao Governador do Estado do Rio Grande do Sul, Sr. Eduardo Leite e ao Secretário de Segurança Pública do estado, Sr. Randolfo Vieira Júnior.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JUSTIFICATIVA: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left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Inicialmente, destaca-se a importância da Segurança Pública para a própria economia do estado e municípios, e o imprescindível trabalho desenvolvido pelos efetivos da Brigada Militar, instituição que é a primeira barreira de proteção do cidadão contra a chaga da criminalidade.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Consabido que o Estado passa por dificuldades financeiras, consequência de problemas de gestão que se acumularam por vários anos, todavia, não podem os servidores ser penalizados e obrigados a pagar a conta.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Do ponto de vista legal, trata-se de questão relativa à segurança e incolumidade pública. A tutela à segurança de nossa população é, igualmente, um direito insculpido no “caput” do Art. 6º e Art. 144, ambos da Magna Carta de 1988.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“Art. 6º São direitos sociais a educação, a saúde, a alimentação, o trabalho, a moradia, o transporte, o lazer, a segurança, a previdência social, a proteção à maternidade e à infância, a assistência aos desamparados, na forma desta Constituição.”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“Art. 144. A segurança pública, dever do Estado, direito e responsabilidade de todos, é exercida para a preservação da ordem pública e da incolumidade das pessoas e do patrimônio [...]”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Outrossim, é dever do Estado, também, em âmbito federal, estadual e municipal, prover, muito além do mínimo existencial, o direito à segurança, tal como tantos outros inseridos na órbita dos direitos sociais constitucionalmente garantidos, trata-se de direito público subjetivo, uma prerrogativa jurídica indisponível, assegurada à generalidade das pessoas.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Ocorre que, o apoio ao referido projeto, além de significar um retrocesso, desestímulo, desrespeito àqueles que todos os dias estão na linha de frente, em combate ao crime e em defesa de nossa sociedade, colocando em risco a própria vida, significa, também, risco à classe, tal como ao povo gaúcho.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72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Não é demais lembrar que no RS, não só a Brigada Militar, mas outras polícias, a exemplo da Polícia Civil, enfrentam problemas com efetivo e equipamentos, circunstâncias que acabam por acarretar risco ao trabalho desses profissionais como à população. Assim, não pode o executivo dificultar ainda mais a situação, trazendo mais prejuízos e vulnerabilidade à classe, a partir do referido projeto.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Dessarte, pelo exposto, ratificamos nosso posicionamento, repudiando a iniciativa do executivo estadual, concernente à alteração dos proventos dos agentes da Brigada Militar do Estado do Rio Grande do Sul, por ser, de longe, a decisão mais equivocada, que não vai de encontro aos interesses do povo gaúcho.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Atenciosamente,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Carmem 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ú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cia de Moraes                                      Alberi Dias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Ver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Progressistas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                                          Ver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Cidadania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Jonas Bohn Bernardo                                            Em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lia Fulcher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59"/>
        </w:tabs>
        <w:spacing w:line="276" w:lineRule="auto"/>
        <w:ind w:left="0" w:firstLine="0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Progressistas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                                                Ver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MDB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432"/>
        </w:tabs>
        <w:spacing w:line="276" w:lineRule="auto"/>
        <w:ind w:firstLine="720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Carlos de Oliveira</w:t>
        <w:tab/>
        <w:t xml:space="preserve">           Leandro Gralha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432"/>
        </w:tabs>
        <w:spacing w:line="276" w:lineRule="auto"/>
        <w:ind w:firstLine="720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Ver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PDT</w:t>
        <w:tab/>
        <w:t xml:space="preserve">              Ver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MDB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432"/>
        </w:tabs>
        <w:spacing w:line="276" w:lineRule="auto"/>
        <w:ind w:firstLine="720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Ismael Viezze</w:t>
        <w:tab/>
        <w:t xml:space="preserve">          Marcelo Drehmer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432"/>
        </w:tabs>
        <w:spacing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Ver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PDT</w:t>
        <w:tab/>
        <w:t xml:space="preserve"> Ver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MDB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359"/>
        </w:tabs>
        <w:spacing w:line="276" w:lineRule="auto"/>
        <w:ind w:firstLine="72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Merlin Jone Wulff</w:t>
        <w:tab/>
        <w:t xml:space="preserve">  Jerônimo Terra Rolim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359"/>
        </w:tabs>
        <w:spacing w:line="276" w:lineRule="auto"/>
        <w:ind w:firstLine="720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PDT</w:t>
        <w:tab/>
        <w:t xml:space="preserve">               Ver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PSDB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</w:rPr>
        <w:sectPr>
          <w:headerReference r:id="rId6" w:type="default"/>
          <w:pgSz w:h="16838" w:w="11906"/>
          <w:pgMar w:bottom="1417" w:top="1417" w:left="1701" w:right="1701" w:header="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552"/>
          <w:tab w:val="center" w:pos="4252"/>
        </w:tabs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Marcelo Vargas Savi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color w:val="0d0d0d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rtl w:val="0"/>
        </w:rPr>
        <w:t xml:space="preserve">Vereador Presidente - MDB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984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417" w:top="1417" w:left="1701" w:right="1701" w:header="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before="708" w:lineRule="auto"/>
      <w:rPr/>
    </w:pPr>
    <w:r w:rsidDel="00000000" w:rsidR="00000000" w:rsidRPr="00000000">
      <w:rPr>
        <w:color w:val="000000"/>
      </w:rPr>
      <w:drawing>
        <wp:inline distB="0" distT="0" distL="0" distR="0">
          <wp:extent cx="2295525" cy="11049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Cambria" w:cs="Cambria" w:eastAsia="Cambria" w:hAnsi="Cambria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